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2A" w:rsidRPr="008A3A2A" w:rsidRDefault="008A3A2A" w:rsidP="008A3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3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реализация проекта «Профессиональные объединения педагогов города Саянска как структурные компоненты информационно-образовательного пространства города» в 2020-21 уч. году</w:t>
      </w:r>
    </w:p>
    <w:p w:rsidR="008A3A2A" w:rsidRPr="008A3A2A" w:rsidRDefault="008A3A2A" w:rsidP="008A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3A2A" w:rsidRPr="008A3A2A" w:rsidRDefault="008A3A2A" w:rsidP="008A3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РП «Учитель будущего» национального проекта «Образование» в муниципальной системе образования города Саянска и создание в образовательной среде города точек роста для профессионального развития педагогических работников осуществлялось в 2020-2021 учебном году в рамках реализации профессионального проекта «Профессиональные объединения педагогов города Саянска как структурные компоненты информационно-образовательного пространства города».  </w:t>
      </w:r>
      <w:r w:rsidRPr="008A3A2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Цель проекта:</w:t>
      </w:r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A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создание </w:t>
      </w:r>
      <w:r w:rsidRPr="008A3A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условий для</w:t>
      </w:r>
      <w:r w:rsidRPr="008A3A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повышения и развития компетенций педагогических работников </w:t>
      </w:r>
      <w:r w:rsidRPr="008A3A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МСО в</w:t>
      </w:r>
      <w:r w:rsidRPr="008A3A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соответствие с ведущими положениями системы непрерывного профессионального развития и достижения качественного образования</w:t>
      </w:r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A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рамках регионального проекта «Учитель будущего» национального проекта «Образование».</w:t>
      </w:r>
    </w:p>
    <w:p w:rsidR="008A3A2A" w:rsidRPr="008A3A2A" w:rsidRDefault="008A3A2A" w:rsidP="008A3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по модели «горизонтального обучения» педагогических работников в рамках проекта было организовано </w:t>
      </w:r>
      <w:r w:rsidRPr="008A3A2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A3A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городскими профессиональными педагогическими объединениями (далее ГППО) и 4 городскими сетевыми педагогическими сообществами </w:t>
      </w:r>
      <w:proofErr w:type="spellStart"/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подпроекта</w:t>
      </w:r>
      <w:proofErr w:type="spellEnd"/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«Педагогическая лаборатория успеха». Кроме того, заслуживает </w:t>
      </w:r>
      <w:bookmarkStart w:id="0" w:name="_GoBack"/>
      <w:bookmarkEnd w:id="0"/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форма</w:t>
      </w:r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ГМО-ассоциаций педагогов по педагогической проблеме. Таких ассоциаций было две: «Современный учитель» - «Активная оценка - новая и эффективная стратегия обучения», «Современные подходы к проектированию предметно-развивающей пространственной среды в группах раннего возраста детского сада». Они сочетали в своей работе как виртуальные, так и реальные «здесь и сейчас» встречи, что было особенно ценно, по мнению участников ассоциаций. С одной стороны, дистанционное взаимодействие позволяет охватить большее количество людей, а с другой стороны традиционное «живое» общение более эффективно при выполнении задач практического характера. Так, основными направлениями работы ГМО-ассоциации «Современный учитель» были освоение эффективных форм организации дистанционного обучения, проектирование и проведение учебного занятия с активной оценкой, а также </w:t>
      </w:r>
      <w:proofErr w:type="gramStart"/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 педагогических</w:t>
      </w:r>
      <w:proofErr w:type="gramEnd"/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идей по теме. </w:t>
      </w:r>
    </w:p>
    <w:p w:rsidR="008A3A2A" w:rsidRPr="008A3A2A" w:rsidRDefault="008A3A2A" w:rsidP="008A3A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8A3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</w:t>
      </w:r>
      <w:r w:rsidRPr="008A3A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A3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8A3A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Положением о деятельности в работе городских профессиональных объединений (ГППО), сетевых сообществ и ГМО-ассоциаций приняли участие 523 (2019-2020г -582) педагогических работника города Саянска, что составляет 87,3% от общего количества. Причины снижения активности в реализации проекта видятся в ограничениях, связанных с пандемией </w:t>
      </w:r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-19, низкой мотивацией педагогов на участие, сверхвысокой занятостью педагогов в образовательном процессе учреждения, работой в две смены и др. </w:t>
      </w:r>
    </w:p>
    <w:p w:rsidR="008A3A2A" w:rsidRPr="008A3A2A" w:rsidRDefault="008A3A2A" w:rsidP="008A3A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Задачи, решаемые </w:t>
      </w:r>
      <w:proofErr w:type="gramStart"/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профессиональными объединениями</w:t>
      </w:r>
      <w:proofErr w:type="gramEnd"/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направлены на формирование единого городского информационного пространства для непрерывного профессионального развития педагогов через организацию </w:t>
      </w:r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различных форм сетевого профессионального взаимодействия формального и неформального характера, обеспечение профессионального, культурного и творческого роста педагогов, содействие внедрению новых образовательных и цифровых технологий, качества образования. А </w:t>
      </w:r>
      <w:proofErr w:type="gramStart"/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формирование современного имиджа педагогического работника через профессиональное конкурсное движение и распространение успешных педагогических практик. Поставленные задачи решались через различные формы педагогического взаимодействия членов ГППО -  коллективные (групповые) и индивидуальные круглые и диалоговые столы, форумы, фестиваль педагогических идей: калейдоскоп уроков, педагогических событий, семинары и консультации, конкурсы профессионального мастерства, публикации в профессиональных изданиях. </w:t>
      </w:r>
    </w:p>
    <w:p w:rsidR="008A3A2A" w:rsidRPr="008A3A2A" w:rsidRDefault="008A3A2A" w:rsidP="008A3A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деятельности ГППО в 2020-2021уч. году было:</w:t>
      </w:r>
    </w:p>
    <w:p w:rsidR="008A3A2A" w:rsidRPr="008A3A2A" w:rsidRDefault="008A3A2A" w:rsidP="008A3A2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нормативной и методической документации системы образования, консультирование и оказание необходимой помощи педагогическим работникам в вопросах программного обеспечения, повышения качества образования;</w:t>
      </w:r>
    </w:p>
    <w:p w:rsidR="008A3A2A" w:rsidRPr="008A3A2A" w:rsidRDefault="008A3A2A" w:rsidP="008A3A2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работы педагогических работников по принципу предметности: реализация концепций преподавания учебных предметов (предметных областей); </w:t>
      </w:r>
    </w:p>
    <w:p w:rsidR="008A3A2A" w:rsidRPr="008A3A2A" w:rsidRDefault="008A3A2A" w:rsidP="008A3A2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в систему общего образования новых образовательных технологий и методик формирования функциональной грамотности, отвечающей высокому уровню (по методике исследований PISA, PIRLS);</w:t>
      </w:r>
    </w:p>
    <w:p w:rsidR="008A3A2A" w:rsidRPr="008A3A2A" w:rsidRDefault="008A3A2A" w:rsidP="008A3A2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аналитической основы управления МСОКО по предметам, итоговая аттестация по которым проводится в форме ОГЭ, ЕГЭ. </w:t>
      </w:r>
    </w:p>
    <w:p w:rsidR="008A3A2A" w:rsidRPr="008A3A2A" w:rsidRDefault="008A3A2A" w:rsidP="008A3A2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нового содержания, технологий и методов педагогической образовательной и воспитательной деятельности в соответствие с обновленными ФГОС; </w:t>
      </w:r>
    </w:p>
    <w:p w:rsidR="008A3A2A" w:rsidRPr="008A3A2A" w:rsidRDefault="008A3A2A" w:rsidP="008A3A2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диссеминация опыта педагогов через организацию открытых уроков, семинаров, мастер-классов по актуальным направлениям современного образования;</w:t>
      </w:r>
    </w:p>
    <w:p w:rsidR="008A3A2A" w:rsidRPr="008A3A2A" w:rsidRDefault="008A3A2A" w:rsidP="008A3A2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интеллектуальных и творческих конкурсов, учащихся </w:t>
      </w:r>
      <w:r w:rsidRPr="008A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(интеллектуальная игра МИФ, «Секретный бит», </w:t>
      </w:r>
      <w:proofErr w:type="spellStart"/>
      <w:r w:rsidRPr="008A3A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8A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 и др.);</w:t>
      </w:r>
    </w:p>
    <w:p w:rsidR="008A3A2A" w:rsidRPr="008A3A2A" w:rsidRDefault="008A3A2A" w:rsidP="008A3A2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конкурсах профессионального мастерства;</w:t>
      </w:r>
    </w:p>
    <w:p w:rsidR="008A3A2A" w:rsidRPr="008A3A2A" w:rsidRDefault="008A3A2A" w:rsidP="008A3A2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публикации методических разработок.</w:t>
      </w:r>
    </w:p>
    <w:p w:rsidR="008A3A2A" w:rsidRPr="008A3A2A" w:rsidRDefault="008A3A2A" w:rsidP="008A3A2A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тем заседаний учитываются профессиональные запросы педагогических работников, актуальность рассматриваемых вопросов, их значение для совершенствования качества педагогической деятельности и, как следствие этого, повышение качества учебно-воспитательного процесса.</w:t>
      </w:r>
    </w:p>
    <w:p w:rsidR="008A3A2A" w:rsidRPr="008A3A2A" w:rsidRDefault="008A3A2A" w:rsidP="008A3A2A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учебного года ГППО активно работали над проблемами повышения качества образования, анализировали результаты ГИА и других внешних оценочных процедур (ВПР), активно участвовали в работе региональных семинаров и </w:t>
      </w:r>
      <w:proofErr w:type="spellStart"/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данным вопросам. В рамках </w:t>
      </w:r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реализации Муниципальной инновационной площадки по управлению качеством образования педагоги на заседаниях ГППО </w:t>
      </w:r>
      <w:proofErr w:type="gramStart"/>
      <w:r w:rsidRPr="008A3A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изучали  аналитические</w:t>
      </w:r>
      <w:proofErr w:type="gramEnd"/>
      <w:r w:rsidRPr="008A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ГИА-2020, перспективные модели ЕГЭ, выявляли  проблемные для школьников города задания </w:t>
      </w:r>
      <w:proofErr w:type="spellStart"/>
      <w:r w:rsidRPr="008A3A2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Pr="008A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ОГЭ и ЕГЭ, анализировали и разрабатывали  диагностические материалы для МСОКО. </w:t>
      </w:r>
    </w:p>
    <w:p w:rsidR="008A3A2A" w:rsidRPr="008A3A2A" w:rsidRDefault="008A3A2A" w:rsidP="008A3A2A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неблагоприятно-эпидемиологической ситуации и введения дистанционного обучения школьников учителя учились создавать уроки в режиме дистанционного обучения с </w:t>
      </w:r>
      <w:proofErr w:type="gramStart"/>
      <w:r w:rsidRPr="008A3A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 IT</w:t>
      </w:r>
      <w:proofErr w:type="gramEnd"/>
      <w:r w:rsidRPr="008A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-технологий на платформе </w:t>
      </w:r>
      <w:r w:rsidRPr="008A3A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CORE</w:t>
      </w:r>
      <w:r w:rsidRPr="008A3A2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Заслуживают особого внимания учителей вопросы совершенствования педагогической компетентности ГМО-ассоциации «Современный учитель» под руководством Резниченко Ю.Л., учителя начальных классов МОУ СОШ №2. Участники ГМО-ассоциации не просто изучили, но и провели муниципальный конкурс профессионального мастерства «Лучший интерактивный урок с использованием дистанционных технологий» и разместили материалы в свободном доступе в сети Интернет.</w:t>
      </w:r>
    </w:p>
    <w:p w:rsidR="008A3A2A" w:rsidRPr="008A3A2A" w:rsidRDefault="008A3A2A" w:rsidP="008A3A2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 высокий уровень методической деятельности ГППО учителей математики, ГППО учителей истории и обществознания, ГППО учителей физической культуры, ГППО учителей естественного цикла наук и выразить благодарность их руководителям. </w:t>
      </w:r>
    </w:p>
    <w:p w:rsidR="008A3A2A" w:rsidRPr="008A3A2A" w:rsidRDefault="008A3A2A" w:rsidP="008A3A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эффективной и продуктивной можно считать работу ГМО-ассоциаций «Современные подходы к проектированию предметно-развивающей пространственной среды в группах раннего возраста детского сада», впервые объединившего воспитателей младших групп ДОУ (руководитель Андреева Н.П.).  ГМО-ассоциация «Современный учитель» планирует продолжить свою работу в следующем учебном году.</w:t>
      </w:r>
    </w:p>
    <w:p w:rsidR="008A3A2A" w:rsidRPr="008A3A2A" w:rsidRDefault="008A3A2A" w:rsidP="008A3A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Дальнейшее развитие получил сетевой </w:t>
      </w:r>
      <w:proofErr w:type="spellStart"/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подпроект</w:t>
      </w:r>
      <w:proofErr w:type="spellEnd"/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«Педагогическая лаборатория успеха». Он направлен на организацию сетевых городских педагогических сообществ,  стимулирование педагогов на непрерывное повышение квалификации в неформальной форме в рамках своей профессиональной деятельности, освоение на практике возможностей современных цифровых технологий, популяризацию инновационного опыта педагогов, создание открытых информационных баз педагогических разработок: </w:t>
      </w:r>
      <w:hyperlink r:id="rId5" w:history="1">
        <w:r w:rsidRPr="008A3A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http://sayansk-cro.ru/onlajn-start.html</w:t>
        </w:r>
      </w:hyperlink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hyperlink r:id="rId6" w:history="1">
        <w:r w:rsidRPr="008A3A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https://vk.com/network_city</w:t>
        </w:r>
      </w:hyperlink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</w:t>
      </w:r>
    </w:p>
    <w:p w:rsidR="008A3A2A" w:rsidRPr="008A3A2A" w:rsidRDefault="008A3A2A" w:rsidP="008A3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Проблемы, над которыми работали сообщества:</w:t>
      </w:r>
    </w:p>
    <w:p w:rsidR="008A3A2A" w:rsidRPr="008A3A2A" w:rsidRDefault="008A3A2A" w:rsidP="008A3A2A">
      <w:pPr>
        <w:numPr>
          <w:ilvl w:val="0"/>
          <w:numId w:val="2"/>
        </w:numPr>
        <w:shd w:val="clear" w:color="auto" w:fill="FFFFFF"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«Мобильное и смешанное обучение как способ реализации ФГОС»</w:t>
      </w:r>
    </w:p>
    <w:p w:rsidR="008A3A2A" w:rsidRPr="008A3A2A" w:rsidRDefault="008A3A2A" w:rsidP="008A3A2A">
      <w:pPr>
        <w:numPr>
          <w:ilvl w:val="0"/>
          <w:numId w:val="2"/>
        </w:numPr>
        <w:shd w:val="clear" w:color="auto" w:fill="FFFFFF"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языковой среды образовательного учреждения в соответствие с нормами современного литературного языка»</w:t>
      </w:r>
    </w:p>
    <w:p w:rsidR="008A3A2A" w:rsidRPr="008A3A2A" w:rsidRDefault="008A3A2A" w:rsidP="008A3A2A">
      <w:pPr>
        <w:numPr>
          <w:ilvl w:val="0"/>
          <w:numId w:val="2"/>
        </w:numPr>
        <w:shd w:val="clear" w:color="auto" w:fill="FFFFFF"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«Эффективное использование цифровой образовательной среды для решения задач повышения качества образования»</w:t>
      </w:r>
    </w:p>
    <w:p w:rsidR="008A3A2A" w:rsidRPr="008A3A2A" w:rsidRDefault="008A3A2A" w:rsidP="008A3A2A">
      <w:pPr>
        <w:numPr>
          <w:ilvl w:val="0"/>
          <w:numId w:val="2"/>
        </w:numPr>
        <w:shd w:val="clear" w:color="auto" w:fill="FFFFFF"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«Мастерская классного руководителя».</w:t>
      </w:r>
    </w:p>
    <w:p w:rsidR="008A3A2A" w:rsidRPr="008A3A2A" w:rsidRDefault="008A3A2A" w:rsidP="008A3A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городских сетевых профессиональных педагогических сообществ осуществлялась через формирование сетевого сообщества и регистрацию участников группы педагогов в социальной сети </w:t>
      </w:r>
      <w:proofErr w:type="spellStart"/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принципу виртуального взаимодействия, работу с информационно-</w:t>
      </w:r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методическими материалами, размещение материалов на странице - стене сообщества, взаимодействие кураторов и педагогов через зону совместного обсуждения проблемы. Итогом проекта явилось создание открытой базы авторских разработок по конкретной педагогической проблеме. </w:t>
      </w:r>
    </w:p>
    <w:p w:rsidR="008A3A2A" w:rsidRPr="008A3A2A" w:rsidRDefault="008A3A2A" w:rsidP="008A3A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в работе городского профессионального проекта «Педагогическая лаборатория успеха» приняли участие 73 педагога, что составляет 12% от всех педагогов города. </w:t>
      </w:r>
    </w:p>
    <w:p w:rsidR="008A3A2A" w:rsidRPr="008A3A2A" w:rsidRDefault="008A3A2A" w:rsidP="008A3A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A2A">
        <w:rPr>
          <w:rFonts w:ascii="Times New Roman" w:eastAsia="Calibri" w:hAnsi="Times New Roman" w:cs="Times New Roman"/>
          <w:sz w:val="28"/>
          <w:szCs w:val="28"/>
        </w:rPr>
        <w:t xml:space="preserve">При подведении итогов деятельности проекта в 2020-2021 на ежегодном педагогическом </w:t>
      </w:r>
      <w:r w:rsidRPr="008A3A2A">
        <w:rPr>
          <w:rFonts w:ascii="Times New Roman" w:eastAsia="Calibri" w:hAnsi="Times New Roman" w:cs="Times New Roman"/>
          <w:sz w:val="28"/>
          <w:szCs w:val="28"/>
          <w:lang w:val="en-US"/>
        </w:rPr>
        <w:t>MEET</w:t>
      </w:r>
      <w:r w:rsidRPr="008A3A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A2A">
        <w:rPr>
          <w:rFonts w:ascii="Times New Roman" w:eastAsia="Calibri" w:hAnsi="Times New Roman" w:cs="Times New Roman"/>
          <w:sz w:val="28"/>
          <w:szCs w:val="28"/>
          <w:lang w:val="en-US"/>
        </w:rPr>
        <w:t>UP</w:t>
      </w:r>
      <w:r w:rsidRPr="008A3A2A">
        <w:rPr>
          <w:rFonts w:ascii="Times New Roman" w:eastAsia="Calibri" w:hAnsi="Times New Roman" w:cs="Times New Roman"/>
          <w:sz w:val="28"/>
          <w:szCs w:val="28"/>
        </w:rPr>
        <w:t xml:space="preserve"> участниками проекта, отмечено, что его ожидаемыми результатами стали:</w:t>
      </w:r>
    </w:p>
    <w:p w:rsidR="008A3A2A" w:rsidRPr="008A3A2A" w:rsidRDefault="008A3A2A" w:rsidP="008A3A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A2A">
        <w:rPr>
          <w:rFonts w:ascii="Times New Roman" w:eastAsia="Calibri" w:hAnsi="Times New Roman" w:cs="Times New Roman"/>
          <w:sz w:val="28"/>
          <w:szCs w:val="28"/>
        </w:rPr>
        <w:t>1.</w:t>
      </w:r>
      <w:r w:rsidRPr="008A3A2A">
        <w:rPr>
          <w:rFonts w:ascii="Times New Roman" w:eastAsia="Calibri" w:hAnsi="Times New Roman" w:cs="Times New Roman"/>
          <w:sz w:val="28"/>
          <w:szCs w:val="28"/>
        </w:rPr>
        <w:tab/>
        <w:t>Управление процессом развития новой профессионально-личностной позиции педагога, владеющего необходимыми компетенциями в соответствие с современными требованиями.</w:t>
      </w:r>
    </w:p>
    <w:p w:rsidR="008A3A2A" w:rsidRPr="008A3A2A" w:rsidRDefault="008A3A2A" w:rsidP="008A3A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A2A">
        <w:rPr>
          <w:rFonts w:ascii="Times New Roman" w:eastAsia="Calibri" w:hAnsi="Times New Roman" w:cs="Times New Roman"/>
          <w:sz w:val="28"/>
          <w:szCs w:val="28"/>
        </w:rPr>
        <w:t>2.</w:t>
      </w:r>
      <w:r w:rsidRPr="008A3A2A">
        <w:rPr>
          <w:rFonts w:ascii="Times New Roman" w:eastAsia="Calibri" w:hAnsi="Times New Roman" w:cs="Times New Roman"/>
          <w:sz w:val="28"/>
          <w:szCs w:val="28"/>
        </w:rPr>
        <w:tab/>
        <w:t xml:space="preserve">Преобразование традиционной модели городских методических объединений в инновационные, основанные на </w:t>
      </w:r>
      <w:proofErr w:type="spellStart"/>
      <w:r w:rsidRPr="008A3A2A">
        <w:rPr>
          <w:rFonts w:ascii="Times New Roman" w:eastAsia="Calibri" w:hAnsi="Times New Roman" w:cs="Times New Roman"/>
          <w:sz w:val="28"/>
          <w:szCs w:val="28"/>
        </w:rPr>
        <w:t>взаимообогащающем</w:t>
      </w:r>
      <w:proofErr w:type="spellEnd"/>
      <w:r w:rsidRPr="008A3A2A">
        <w:rPr>
          <w:rFonts w:ascii="Times New Roman" w:eastAsia="Calibri" w:hAnsi="Times New Roman" w:cs="Times New Roman"/>
          <w:sz w:val="28"/>
          <w:szCs w:val="28"/>
        </w:rPr>
        <w:t xml:space="preserve"> в реальном и виртуальном взаимодействии.</w:t>
      </w:r>
    </w:p>
    <w:p w:rsidR="008A3A2A" w:rsidRPr="008A3A2A" w:rsidRDefault="008A3A2A" w:rsidP="008A3A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A2A">
        <w:rPr>
          <w:rFonts w:ascii="Times New Roman" w:eastAsia="Calibri" w:hAnsi="Times New Roman" w:cs="Times New Roman"/>
          <w:sz w:val="28"/>
          <w:szCs w:val="28"/>
        </w:rPr>
        <w:t>3.</w:t>
      </w:r>
      <w:r w:rsidRPr="008A3A2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A3A2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A3A2A">
        <w:rPr>
          <w:rFonts w:ascii="Times New Roman" w:eastAsia="Calibri" w:hAnsi="Times New Roman" w:cs="Times New Roman"/>
          <w:sz w:val="28"/>
          <w:szCs w:val="28"/>
        </w:rPr>
        <w:t xml:space="preserve"> личностном плане положительная динамика </w:t>
      </w:r>
      <w:proofErr w:type="spellStart"/>
      <w:r w:rsidRPr="008A3A2A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8A3A2A">
        <w:rPr>
          <w:rFonts w:ascii="Times New Roman" w:eastAsia="Calibri" w:hAnsi="Times New Roman" w:cs="Times New Roman"/>
          <w:sz w:val="28"/>
          <w:szCs w:val="28"/>
        </w:rPr>
        <w:t xml:space="preserve"> компетенций педагогов в соответствие с системой профессионального роста педагогических работников, стремящихся к дальнейшему профессиональному росту, что обеспечит новое качество образовательных результатов города и региона.</w:t>
      </w:r>
    </w:p>
    <w:p w:rsidR="008A3A2A" w:rsidRPr="008A3A2A" w:rsidRDefault="008A3A2A" w:rsidP="008A3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Востребованность такой формы учительского роста актуальна и должна быть продолжена в следующем учебном году, при этом предполагается продолжение освоения участниками инновационных дистанционных форм организации образовательного процесса. Актуальна на сегодняшний день проблема внедрения смешанного обучения в образовательную практику всех школ города. </w:t>
      </w:r>
    </w:p>
    <w:p w:rsidR="008A3A2A" w:rsidRPr="008A3A2A" w:rsidRDefault="008A3A2A" w:rsidP="008A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эффективности реализации профессионального проекта в 2020-2021 уч. году можно судить на основе:</w:t>
      </w:r>
    </w:p>
    <w:p w:rsidR="008A3A2A" w:rsidRPr="008A3A2A" w:rsidRDefault="008A3A2A" w:rsidP="008A3A2A">
      <w:pPr>
        <w:numPr>
          <w:ilvl w:val="0"/>
          <w:numId w:val="3"/>
        </w:numPr>
        <w:tabs>
          <w:tab w:val="left" w:pos="43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положительной динамики уровня </w:t>
      </w:r>
      <w:proofErr w:type="spellStart"/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профкомпетенций</w:t>
      </w:r>
      <w:proofErr w:type="spellEnd"/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(достаточный уровень)</w:t>
      </w:r>
    </w:p>
    <w:p w:rsidR="008A3A2A" w:rsidRPr="008A3A2A" w:rsidRDefault="008A3A2A" w:rsidP="008A3A2A">
      <w:pPr>
        <w:tabs>
          <w:tab w:val="left" w:pos="432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A3A2A" w:rsidRPr="008A3A2A" w:rsidRDefault="008A3A2A" w:rsidP="008A3A2A">
      <w:pPr>
        <w:numPr>
          <w:ilvl w:val="0"/>
          <w:numId w:val="3"/>
        </w:numPr>
        <w:tabs>
          <w:tab w:val="left" w:pos="43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A3A2A">
        <w:rPr>
          <w:rFonts w:ascii="Calibri" w:eastAsia="Calibri" w:hAnsi="Calibri" w:cs="Times New Roman"/>
          <w:noProof/>
          <w:shd w:val="clear" w:color="auto" w:fill="FFFFFF"/>
          <w:lang w:eastAsia="ru-RU"/>
        </w:rPr>
        <w:drawing>
          <wp:inline distT="0" distB="0" distL="0" distR="0" wp14:anchorId="4DBFD907" wp14:editId="53F5B0BE">
            <wp:extent cx="3695700" cy="17621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A2A" w:rsidRPr="008A3A2A" w:rsidRDefault="008A3A2A" w:rsidP="008A3A2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02020"/>
          <w:sz w:val="28"/>
          <w:szCs w:val="28"/>
          <w:shd w:val="clear" w:color="auto" w:fill="FFFFFF"/>
        </w:rPr>
      </w:pPr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сайтов или блогов (страниц) на официальном сайте ЦРО.  Профессиональные объединения</w:t>
      </w:r>
      <w:r w:rsidRPr="008A3A2A">
        <w:rPr>
          <w:rFonts w:ascii="Times New Roman" w:eastAsia="Calibri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hyperlink r:id="rId8" w:history="1">
        <w:r w:rsidRPr="008A3A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http://sayansk-cro.ru/deyatelnost-tsentra/professionalnye-ob-edineniya.html</w:t>
        </w:r>
      </w:hyperlink>
      <w:r w:rsidRPr="008A3A2A">
        <w:rPr>
          <w:rFonts w:ascii="Times New Roman" w:eastAsia="Calibri" w:hAnsi="Times New Roman" w:cs="Times New Roman"/>
          <w:color w:val="202020"/>
          <w:sz w:val="28"/>
          <w:szCs w:val="28"/>
          <w:shd w:val="clear" w:color="auto" w:fill="FFFFFF"/>
        </w:rPr>
        <w:t xml:space="preserve">, сетевые инициативы </w:t>
      </w:r>
      <w:r w:rsidRPr="008A3A2A">
        <w:rPr>
          <w:rFonts w:ascii="Times New Roman" w:eastAsia="Calibri" w:hAnsi="Times New Roman" w:cs="Times New Roman"/>
          <w:color w:val="202020"/>
          <w:sz w:val="28"/>
          <w:szCs w:val="28"/>
          <w:shd w:val="clear" w:color="auto" w:fill="FFFFFF"/>
        </w:rPr>
        <w:lastRenderedPageBreak/>
        <w:t xml:space="preserve">«Педагогическая лаборатория успеха» </w:t>
      </w:r>
      <w:hyperlink r:id="rId9" w:history="1">
        <w:r w:rsidRPr="008A3A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http://sayansk-cro.ru/12-proekty/638-csetevoj-professionalnyj-proekt.html</w:t>
        </w:r>
      </w:hyperlink>
      <w:r w:rsidRPr="008A3A2A">
        <w:rPr>
          <w:rFonts w:ascii="Times New Roman" w:eastAsia="Calibri" w:hAnsi="Times New Roman" w:cs="Times New Roman"/>
          <w:color w:val="202020"/>
          <w:sz w:val="28"/>
          <w:szCs w:val="28"/>
          <w:shd w:val="clear" w:color="auto" w:fill="FFFFFF"/>
        </w:rPr>
        <w:t>.</w:t>
      </w:r>
    </w:p>
    <w:p w:rsidR="008A3A2A" w:rsidRPr="008A3A2A" w:rsidRDefault="008A3A2A" w:rsidP="008A3A2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02020"/>
          <w:sz w:val="28"/>
          <w:szCs w:val="28"/>
          <w:shd w:val="clear" w:color="auto" w:fill="FFFFFF"/>
        </w:rPr>
      </w:pPr>
      <w:r w:rsidRPr="008A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созданной современной психологически комфортной среды взаимодействия участников проекта и удовлетворенности педагогов собственной деятельностью по отзывам педагогов.</w:t>
      </w:r>
    </w:p>
    <w:p w:rsidR="008A3A2A" w:rsidRDefault="008A3A2A" w:rsidP="008A3A2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8A3A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качественного общего образования в МСО в соответствии задачами, определенными Приоритетным национальным проектом «Образование» реализуется Муниципальный инновационный проект «</w:t>
      </w:r>
      <w:proofErr w:type="gramStart"/>
      <w:r w:rsidRPr="008A3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 управления</w:t>
      </w:r>
      <w:proofErr w:type="gramEnd"/>
      <w:r w:rsidRPr="008A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комплексной системой оценки качества условий осуществления образовательной деятельности  как фактор развития муниципальной системы образования». Методологическими основанием его является формирование системной аналитической основы для управления и развития эффективных механизмов комплексного мониторинга качества общего образования, опирающейся на массив данных о результатах процедур оценки качества образования (ВПР, НИКО) и государственных итоговых аттестаций (ЕГЭ, ОГЭ). Информация  о МСОКО размещается на официальном сайте Управление образования администрации муниципального образования «город Саянск» </w:t>
      </w:r>
      <w:hyperlink r:id="rId10" w:history="1">
        <w:r w:rsidRPr="008A3A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https://uo-sayansk.ru/otsenka-kachestva/kachestvo-obrazovaniya.html</w:t>
        </w:r>
      </w:hyperlink>
      <w:r w:rsidRPr="008A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 инновационной площадки осуществляется в тесном взаимодействии Управления образования, ЦРО, общеобразовательных учреждений, что позволяет формировать объективные аналитические выводы по результатам оценочных процедур </w:t>
      </w:r>
      <w:hyperlink r:id="rId11" w:history="1">
        <w:r w:rsidRPr="008A3A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https://uo-sayansk.ru/otsenka-kachestva/msoko.html</w:t>
        </w:r>
      </w:hyperlink>
      <w:r w:rsidRPr="008A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представить их общественности города. Результатом деятельности в данном направлении является тот факт, что в городе отсутствуют школы с низкими образовательными результатами (ШНОР) не смотря на то, что школы обучают всех детей города самого разного социально-экономического </w:t>
      </w:r>
      <w:proofErr w:type="gramStart"/>
      <w:r w:rsidRPr="008A3A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статуса,  имеют</w:t>
      </w:r>
      <w:proofErr w:type="gramEnd"/>
      <w:r w:rsidRPr="008A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материальные и кадровые ограничения. В этой связи опыт методической работы повышения контрольно-оценочной компетенции учителей педагоги нашего МО представляли на уровне ФИОКО, реализующего федеральный проект «500+» в целях оказания адресной методической помощи школам с низкими образовательными результатами: </w:t>
      </w:r>
      <w:proofErr w:type="spellStart"/>
      <w:r w:rsidRPr="008A3A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Таракова</w:t>
      </w:r>
      <w:proofErr w:type="spellEnd"/>
      <w:r w:rsidRPr="008A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«Построение методической работы школы в рамках внутренней системы оценки качества образования» </w:t>
      </w:r>
      <w:hyperlink r:id="rId12" w:history="1">
        <w:r w:rsidRPr="008A3A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https://fioco.ru/shkolnie-praktiki</w:t>
        </w:r>
      </w:hyperlink>
      <w:r w:rsidRPr="008A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Межрегиональная </w:t>
      </w:r>
      <w:proofErr w:type="spellStart"/>
      <w:r w:rsidRPr="008A3A2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иммерсивная</w:t>
      </w:r>
      <w:proofErr w:type="spellEnd"/>
      <w:r w:rsidRPr="008A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педагогическая мастерская,  в работе которой приняли участие представители школьных, городских, районных методических объединений учителей математики и русского языка, </w:t>
      </w:r>
      <w:proofErr w:type="spellStart"/>
      <w:r w:rsidRPr="008A3A2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тьюторы</w:t>
      </w:r>
      <w:proofErr w:type="spellEnd"/>
      <w:r w:rsidRPr="008A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и Иркутской областей, всего более 263 зарегистрированных участников не только Ленинградской и Иркутской областей, но и других городов России. </w:t>
      </w:r>
      <w:hyperlink r:id="rId13" w:history="1">
        <w:r w:rsidRPr="008A3A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https://www.sayansk-cro.ru/1338-federalnyj-proekt-500-mezhregionalnaya-immersivnaya-masterskaya-dlya-uchitelej-matematiki-i-russkogo-yazyka.html</w:t>
        </w:r>
      </w:hyperlink>
    </w:p>
    <w:p w:rsidR="008A3A2A" w:rsidRPr="008A3A2A" w:rsidRDefault="008A3A2A" w:rsidP="008A3A2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Анализируя в целом деятельность реализации проекта, нельзя не сказать о профессионализме </w:t>
      </w:r>
      <w:r w:rsidRPr="008A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владении методологическими, диагностическими, проектировочными компетенциями руководителями ГППО, сетевых сообществ и ГМО-ассоциаций: Андреевой Н.П., Бондарь Е.В., Гусевой Т.С., </w:t>
      </w:r>
      <w:r w:rsidRPr="008A3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Козловой Н.Ю., Королевой Л.П., Лаптевой О.Т., </w:t>
      </w:r>
      <w:proofErr w:type="spellStart"/>
      <w:r w:rsidRPr="008A3A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Литвиной</w:t>
      </w:r>
      <w:proofErr w:type="spellEnd"/>
      <w:r w:rsidRPr="008A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С.Л., </w:t>
      </w:r>
      <w:proofErr w:type="spellStart"/>
      <w:r w:rsidRPr="008A3A2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Олиярник</w:t>
      </w:r>
      <w:proofErr w:type="spellEnd"/>
      <w:r w:rsidRPr="008A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Г.В., Резниченко Ю.Л., Рыжковой А.С., </w:t>
      </w:r>
      <w:proofErr w:type="spellStart"/>
      <w:r w:rsidRPr="008A3A2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Хроменко</w:t>
      </w:r>
      <w:proofErr w:type="spellEnd"/>
      <w:r w:rsidRPr="008A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</w:p>
    <w:p w:rsidR="008A3A2A" w:rsidRPr="008A3A2A" w:rsidRDefault="008A3A2A" w:rsidP="008A3A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A3A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Следует отметить, что кроме позитивных факторов существуют   и отрицательные, которые препятствуют достижению планируемых результатов в полной мере. При анализе эффективности профессионального проекта необходимо учитывать риски его реализации и возможные пути их преодоления в перспективе: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2"/>
        <w:gridCol w:w="5760"/>
      </w:tblGrid>
      <w:tr w:rsidR="008A3A2A" w:rsidRPr="008A3A2A" w:rsidTr="00807E06">
        <w:tc>
          <w:tcPr>
            <w:tcW w:w="3562" w:type="dxa"/>
            <w:tcBorders>
              <w:bottom w:val="nil"/>
              <w:right w:val="single" w:sz="4" w:space="0" w:color="auto"/>
            </w:tcBorders>
          </w:tcPr>
          <w:p w:rsidR="008A3A2A" w:rsidRPr="008A3A2A" w:rsidRDefault="008A3A2A" w:rsidP="008A3A2A">
            <w:pPr>
              <w:ind w:firstLine="708"/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nil"/>
              <w:right w:val="nil"/>
            </w:tcBorders>
          </w:tcPr>
          <w:p w:rsidR="008A3A2A" w:rsidRPr="008A3A2A" w:rsidRDefault="008A3A2A" w:rsidP="008A3A2A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</w:rPr>
            </w:pPr>
          </w:p>
        </w:tc>
      </w:tr>
      <w:tr w:rsidR="008A3A2A" w:rsidRPr="008A3A2A" w:rsidTr="00807E06">
        <w:tc>
          <w:tcPr>
            <w:tcW w:w="3562" w:type="dxa"/>
            <w:tcBorders>
              <w:bottom w:val="single" w:sz="4" w:space="0" w:color="auto"/>
              <w:right w:val="single" w:sz="4" w:space="0" w:color="auto"/>
            </w:tcBorders>
          </w:tcPr>
          <w:p w:rsidR="008A3A2A" w:rsidRPr="008A3A2A" w:rsidRDefault="008A3A2A" w:rsidP="008A3A2A">
            <w:pPr>
              <w:ind w:firstLine="708"/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</w:rPr>
            </w:pPr>
            <w:r w:rsidRPr="008A3A2A"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</w:rPr>
              <w:t xml:space="preserve">Риски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A3A2A" w:rsidRPr="008A3A2A" w:rsidRDefault="008A3A2A" w:rsidP="008A3A2A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</w:rPr>
            </w:pPr>
            <w:r w:rsidRPr="008A3A2A"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</w:rPr>
              <w:t>Пути преодоления рисков</w:t>
            </w:r>
          </w:p>
        </w:tc>
      </w:tr>
      <w:tr w:rsidR="008A3A2A" w:rsidRPr="008A3A2A" w:rsidTr="00807E06">
        <w:tc>
          <w:tcPr>
            <w:tcW w:w="356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A3A2A" w:rsidRPr="008A3A2A" w:rsidRDefault="008A3A2A" w:rsidP="008A3A2A">
            <w:pPr>
              <w:ind w:firstLine="708"/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3A2A" w:rsidRPr="008A3A2A" w:rsidRDefault="008A3A2A" w:rsidP="008A3A2A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</w:rPr>
            </w:pPr>
          </w:p>
        </w:tc>
      </w:tr>
      <w:tr w:rsidR="008A3A2A" w:rsidRPr="008A3A2A" w:rsidTr="00807E06">
        <w:tc>
          <w:tcPr>
            <w:tcW w:w="3562" w:type="dxa"/>
            <w:tcBorders>
              <w:top w:val="nil"/>
              <w:right w:val="single" w:sz="4" w:space="0" w:color="auto"/>
            </w:tcBorders>
          </w:tcPr>
          <w:p w:rsidR="008A3A2A" w:rsidRPr="008A3A2A" w:rsidRDefault="008A3A2A" w:rsidP="008A3A2A">
            <w:pPr>
              <w:ind w:firstLine="708"/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</w:rPr>
            </w:pPr>
            <w:r w:rsidRPr="008A3A2A"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</w:rPr>
              <w:t>Низкая активность и слабая мотивация педагогов на участие в деятельности разных организационных форм проекта</w:t>
            </w:r>
          </w:p>
          <w:p w:rsidR="008A3A2A" w:rsidRPr="008A3A2A" w:rsidRDefault="008A3A2A" w:rsidP="008A3A2A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right w:val="nil"/>
            </w:tcBorders>
          </w:tcPr>
          <w:p w:rsidR="008A3A2A" w:rsidRPr="008A3A2A" w:rsidRDefault="008A3A2A" w:rsidP="008A3A2A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</w:rPr>
            </w:pPr>
            <w:r w:rsidRPr="008A3A2A"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</w:rPr>
              <w:t>Использование различных способов мотивации участия в работе ГППО, сетевых сообществ, ассоциаций, разработка критериев оценки участия в проекте: морального или материального стимулирования</w:t>
            </w:r>
          </w:p>
          <w:p w:rsidR="008A3A2A" w:rsidRPr="008A3A2A" w:rsidRDefault="008A3A2A" w:rsidP="008A3A2A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</w:rPr>
            </w:pPr>
          </w:p>
        </w:tc>
      </w:tr>
      <w:tr w:rsidR="008A3A2A" w:rsidRPr="008A3A2A" w:rsidTr="00807E06">
        <w:tc>
          <w:tcPr>
            <w:tcW w:w="3562" w:type="dxa"/>
            <w:tcBorders>
              <w:right w:val="single" w:sz="4" w:space="0" w:color="auto"/>
            </w:tcBorders>
          </w:tcPr>
          <w:p w:rsidR="008A3A2A" w:rsidRPr="008A3A2A" w:rsidRDefault="008A3A2A" w:rsidP="008A3A2A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</w:rPr>
            </w:pPr>
            <w:r w:rsidRPr="008A3A2A"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</w:rPr>
              <w:t>Отсутствие контрольных точек оценки реализации проекта</w:t>
            </w:r>
          </w:p>
        </w:tc>
        <w:tc>
          <w:tcPr>
            <w:tcW w:w="5760" w:type="dxa"/>
            <w:tcBorders>
              <w:left w:val="single" w:sz="4" w:space="0" w:color="auto"/>
              <w:right w:val="nil"/>
            </w:tcBorders>
          </w:tcPr>
          <w:p w:rsidR="008A3A2A" w:rsidRPr="008A3A2A" w:rsidRDefault="008A3A2A" w:rsidP="008A3A2A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</w:rPr>
            </w:pPr>
            <w:r w:rsidRPr="008A3A2A"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</w:rPr>
              <w:t xml:space="preserve">Подведение итогов реализации проекта по итогам учебного года для оценки достижения планируемых результатов и исправления положения при необходимости </w:t>
            </w:r>
          </w:p>
          <w:p w:rsidR="008A3A2A" w:rsidRPr="008A3A2A" w:rsidRDefault="008A3A2A" w:rsidP="008A3A2A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</w:rPr>
            </w:pPr>
          </w:p>
        </w:tc>
      </w:tr>
      <w:tr w:rsidR="008A3A2A" w:rsidRPr="008A3A2A" w:rsidTr="00807E06">
        <w:tc>
          <w:tcPr>
            <w:tcW w:w="3562" w:type="dxa"/>
            <w:tcBorders>
              <w:right w:val="single" w:sz="4" w:space="0" w:color="auto"/>
            </w:tcBorders>
          </w:tcPr>
          <w:p w:rsidR="008A3A2A" w:rsidRPr="008A3A2A" w:rsidRDefault="008A3A2A" w:rsidP="008A3A2A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</w:rPr>
            </w:pPr>
            <w:r w:rsidRPr="008A3A2A"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</w:rPr>
              <w:t>Непрофессиональный подход или неподготовленность руководителей ГППО, сетевых сообществ, ассоциаций</w:t>
            </w:r>
          </w:p>
        </w:tc>
        <w:tc>
          <w:tcPr>
            <w:tcW w:w="5760" w:type="dxa"/>
            <w:tcBorders>
              <w:left w:val="single" w:sz="4" w:space="0" w:color="auto"/>
              <w:right w:val="nil"/>
            </w:tcBorders>
          </w:tcPr>
          <w:p w:rsidR="008A3A2A" w:rsidRPr="008A3A2A" w:rsidRDefault="008A3A2A" w:rsidP="008A3A2A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</w:rPr>
            </w:pPr>
            <w:r w:rsidRPr="008A3A2A"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</w:rPr>
              <w:t xml:space="preserve">Обучение руководителей на семинарах, публичная презентация опыта работы наиболее успешных ГППО, сообществ, ассоциаций </w:t>
            </w:r>
          </w:p>
        </w:tc>
      </w:tr>
    </w:tbl>
    <w:p w:rsidR="00A22309" w:rsidRDefault="008A3A2A">
      <w:r w:rsidRPr="008A3A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целом, благодаря реализуемому в городе на допустимом уровне профессиональному педагогическому проекту «Профессиональные объединения педагогов города Саянска как структурные компоненты информационно-образовательного пространства города», </w:t>
      </w:r>
      <w:proofErr w:type="gramStart"/>
      <w:r w:rsidRPr="008A3A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педагог,  участник</w:t>
      </w:r>
      <w:proofErr w:type="gramEnd"/>
      <w:r w:rsidRPr="008A3A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проекта совершенствует свое мастерство в соответствии со своими индивидуальными траекториями развития в  контексте национальной системы профессионального развития педагогических работников в рамках РП «Учитель будущего</w:t>
      </w:r>
    </w:p>
    <w:sectPr w:rsidR="00A2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4AC4"/>
    <w:multiLevelType w:val="hybridMultilevel"/>
    <w:tmpl w:val="30EEA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A26438"/>
    <w:multiLevelType w:val="hybridMultilevel"/>
    <w:tmpl w:val="B3FC74E0"/>
    <w:lvl w:ilvl="0" w:tplc="60ECDC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6442BA"/>
    <w:multiLevelType w:val="hybridMultilevel"/>
    <w:tmpl w:val="1548E7EE"/>
    <w:lvl w:ilvl="0" w:tplc="60ECDC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2A"/>
    <w:rsid w:val="008A3A2A"/>
    <w:rsid w:val="00A2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5479"/>
  <w15:chartTrackingRefBased/>
  <w15:docId w15:val="{FF8028D4-55F4-48AE-88FF-D63B966F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yansk-cro.ru/deyatelnost-tsentra/professionalnye-ob-edineniya.html" TargetMode="External"/><Relationship Id="rId13" Type="http://schemas.openxmlformats.org/officeDocument/2006/relationships/hyperlink" Target="https://www.sayansk-cro.ru/1338-federalnyj-proekt-500-mezhregionalnaya-immersivnaya-masterskaya-dlya-uchitelej-matematiki-i-russkogo-yazyka.html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s://fioco.ru/shkolnie-prakt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network_city" TargetMode="External"/><Relationship Id="rId11" Type="http://schemas.openxmlformats.org/officeDocument/2006/relationships/hyperlink" Target="https://uo-sayansk.ru/otsenka-kachestva/msoko.html" TargetMode="External"/><Relationship Id="rId5" Type="http://schemas.openxmlformats.org/officeDocument/2006/relationships/hyperlink" Target="http://sayansk-cro.ru/onlajn-star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o-sayansk.ru/otsenka-kachestva/kachestvo-obrazovan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yansk-cro.ru/12-proekty/638-csetevoj-professionalnyj-proekt.html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008000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Методологические</c:v>
                </c:pt>
                <c:pt idx="1">
                  <c:v>Методические</c:v>
                </c:pt>
                <c:pt idx="2">
                  <c:v>Технологические</c:v>
                </c:pt>
                <c:pt idx="3">
                  <c:v>Оценочные</c:v>
                </c:pt>
                <c:pt idx="4">
                  <c:v>Диагностические</c:v>
                </c:pt>
                <c:pt idx="5">
                  <c:v>Проектировочные</c:v>
                </c:pt>
                <c:pt idx="6">
                  <c:v>Рефлексивные</c:v>
                </c:pt>
                <c:pt idx="7">
                  <c:v>Инклюзивные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0.54</c:v>
                </c:pt>
                <c:pt idx="1">
                  <c:v>0.57299999999999995</c:v>
                </c:pt>
                <c:pt idx="2">
                  <c:v>0.42</c:v>
                </c:pt>
                <c:pt idx="3">
                  <c:v>0.76600000000000001</c:v>
                </c:pt>
                <c:pt idx="4">
                  <c:v>0.38700000000000001</c:v>
                </c:pt>
                <c:pt idx="5">
                  <c:v>0.66100000000000003</c:v>
                </c:pt>
                <c:pt idx="6">
                  <c:v>0.55600000000000005</c:v>
                </c:pt>
                <c:pt idx="7">
                  <c:v>0.27300000000000002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0D-4B20-BD2D-77DE80C22A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Методологические</c:v>
                </c:pt>
                <c:pt idx="1">
                  <c:v>Методические</c:v>
                </c:pt>
                <c:pt idx="2">
                  <c:v>Технологические</c:v>
                </c:pt>
                <c:pt idx="3">
                  <c:v>Оценочные</c:v>
                </c:pt>
                <c:pt idx="4">
                  <c:v>Диагностические</c:v>
                </c:pt>
                <c:pt idx="5">
                  <c:v>Проектировочные</c:v>
                </c:pt>
                <c:pt idx="6">
                  <c:v>Рефлексивные</c:v>
                </c:pt>
                <c:pt idx="7">
                  <c:v>Инклюзивные</c:v>
                </c:pt>
              </c:strCache>
            </c:strRef>
          </c:cat>
          <c:val>
            <c:numRef>
              <c:f>Лист1!$C$2:$C$9</c:f>
              <c:numCache>
                <c:formatCode>0.00%</c:formatCode>
                <c:ptCount val="8"/>
                <c:pt idx="0">
                  <c:v>0.62</c:v>
                </c:pt>
                <c:pt idx="1">
                  <c:v>0.66700000000000004</c:v>
                </c:pt>
                <c:pt idx="2">
                  <c:v>0.73499999999999999</c:v>
                </c:pt>
                <c:pt idx="3">
                  <c:v>0.77</c:v>
                </c:pt>
                <c:pt idx="4">
                  <c:v>0.38900000000000001</c:v>
                </c:pt>
                <c:pt idx="5">
                  <c:v>0.69199999999999995</c:v>
                </c:pt>
                <c:pt idx="6">
                  <c:v>0.55600000000000005</c:v>
                </c:pt>
                <c:pt idx="7">
                  <c:v>0.27700000000000002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0D-4B20-BD2D-77DE80C22A4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Методологические</c:v>
                </c:pt>
                <c:pt idx="1">
                  <c:v>Методические</c:v>
                </c:pt>
                <c:pt idx="2">
                  <c:v>Технологические</c:v>
                </c:pt>
                <c:pt idx="3">
                  <c:v>Оценочные</c:v>
                </c:pt>
                <c:pt idx="4">
                  <c:v>Диагностические</c:v>
                </c:pt>
                <c:pt idx="5">
                  <c:v>Проектировочные</c:v>
                </c:pt>
                <c:pt idx="6">
                  <c:v>Рефлексивные</c:v>
                </c:pt>
                <c:pt idx="7">
                  <c:v>Инклюзивные</c:v>
                </c:pt>
              </c:strCache>
            </c:strRef>
          </c:cat>
          <c:val>
            <c:numRef>
              <c:f>Лист1!$D$2:$D$9</c:f>
              <c:numCache>
                <c:formatCode>0.00%</c:formatCode>
                <c:ptCount val="8"/>
                <c:pt idx="0">
                  <c:v>0.623</c:v>
                </c:pt>
                <c:pt idx="1">
                  <c:v>0.66800000000000004</c:v>
                </c:pt>
                <c:pt idx="2">
                  <c:v>0.74</c:v>
                </c:pt>
                <c:pt idx="3">
                  <c:v>0.77300000000000002</c:v>
                </c:pt>
                <c:pt idx="4">
                  <c:v>0.39</c:v>
                </c:pt>
                <c:pt idx="5">
                  <c:v>0.71199999999999997</c:v>
                </c:pt>
                <c:pt idx="6">
                  <c:v>0.55800000000000005</c:v>
                </c:pt>
                <c:pt idx="7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20D-4B20-BD2D-77DE80C22A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7282816"/>
        <c:axId val="67284352"/>
        <c:axId val="0"/>
      </c:bar3DChart>
      <c:catAx>
        <c:axId val="67282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67284352"/>
        <c:crosses val="autoZero"/>
        <c:auto val="1"/>
        <c:lblAlgn val="ctr"/>
        <c:lblOffset val="100"/>
        <c:noMultiLvlLbl val="0"/>
      </c:catAx>
      <c:valAx>
        <c:axId val="6728435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67282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2021-06-29T05:54:00Z</cp:lastPrinted>
  <dcterms:created xsi:type="dcterms:W3CDTF">2021-06-29T05:51:00Z</dcterms:created>
  <dcterms:modified xsi:type="dcterms:W3CDTF">2021-06-29T05:56:00Z</dcterms:modified>
</cp:coreProperties>
</file>